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13-12-2025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CB30-18M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60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25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